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8DC" w:rsidRDefault="00C178DC" w:rsidP="003D6B12">
      <w:pPr>
        <w:autoSpaceDE w:val="0"/>
        <w:autoSpaceDN w:val="0"/>
        <w:adjustRightInd w:val="0"/>
        <w:spacing w:after="0" w:line="240" w:lineRule="auto"/>
        <w:jc w:val="both"/>
        <w:rPr>
          <w:rFonts w:ascii="Arial" w:hAnsi="Arial" w:cs="Arial"/>
          <w:color w:val="231F20"/>
          <w:sz w:val="24"/>
          <w:szCs w:val="24"/>
        </w:rPr>
      </w:pPr>
      <w:r w:rsidRPr="00C178DC">
        <w:rPr>
          <w:rFonts w:ascii="Arial" w:hAnsi="Arial" w:cs="Arial"/>
          <w:color w:val="231F20"/>
          <w:sz w:val="24"/>
          <w:szCs w:val="24"/>
        </w:rPr>
        <w:t>In section 40 of the Income-tax Act, in clause (</w:t>
      </w:r>
      <w:r w:rsidRPr="00C178DC">
        <w:rPr>
          <w:rFonts w:ascii="Arial" w:hAnsi="Arial" w:cs="Arial"/>
          <w:i/>
          <w:iCs/>
          <w:color w:val="231F20"/>
          <w:sz w:val="24"/>
          <w:szCs w:val="24"/>
        </w:rPr>
        <w:t>a</w:t>
      </w:r>
      <w:r w:rsidRPr="00C178DC">
        <w:rPr>
          <w:rFonts w:ascii="Arial" w:hAnsi="Arial" w:cs="Arial"/>
          <w:color w:val="231F20"/>
          <w:sz w:val="24"/>
          <w:szCs w:val="24"/>
        </w:rPr>
        <w:t>), with effect from the 1st day of April, 2015,—</w:t>
      </w:r>
    </w:p>
    <w:p w:rsidR="00C178DC" w:rsidRPr="00C178DC" w:rsidRDefault="00C178DC" w:rsidP="003D6B12">
      <w:pPr>
        <w:autoSpaceDE w:val="0"/>
        <w:autoSpaceDN w:val="0"/>
        <w:adjustRightInd w:val="0"/>
        <w:spacing w:after="0" w:line="240" w:lineRule="auto"/>
        <w:jc w:val="both"/>
        <w:rPr>
          <w:rFonts w:ascii="Arial" w:hAnsi="Arial" w:cs="Arial"/>
          <w:color w:val="231F20"/>
          <w:sz w:val="24"/>
          <w:szCs w:val="24"/>
        </w:rPr>
      </w:pPr>
    </w:p>
    <w:p w:rsidR="00C178DC" w:rsidRPr="00C178DC" w:rsidRDefault="00C178DC" w:rsidP="003D6B12">
      <w:pPr>
        <w:autoSpaceDE w:val="0"/>
        <w:autoSpaceDN w:val="0"/>
        <w:adjustRightInd w:val="0"/>
        <w:spacing w:after="0" w:line="240" w:lineRule="auto"/>
        <w:jc w:val="both"/>
        <w:rPr>
          <w:rFonts w:ascii="Arial" w:hAnsi="Arial" w:cs="Arial"/>
          <w:color w:val="231F20"/>
          <w:sz w:val="24"/>
          <w:szCs w:val="24"/>
        </w:rPr>
      </w:pPr>
      <w:r w:rsidRPr="00C178DC">
        <w:rPr>
          <w:rFonts w:ascii="Arial" w:hAnsi="Arial" w:cs="Arial"/>
          <w:color w:val="231F20"/>
          <w:sz w:val="24"/>
          <w:szCs w:val="24"/>
        </w:rPr>
        <w:t>(</w:t>
      </w:r>
      <w:r w:rsidRPr="00C178DC">
        <w:rPr>
          <w:rFonts w:ascii="Arial" w:hAnsi="Arial" w:cs="Arial"/>
          <w:i/>
          <w:iCs/>
          <w:color w:val="231F20"/>
          <w:sz w:val="24"/>
          <w:szCs w:val="24"/>
        </w:rPr>
        <w:t>a</w:t>
      </w:r>
      <w:r w:rsidRPr="00C178DC">
        <w:rPr>
          <w:rFonts w:ascii="Arial" w:hAnsi="Arial" w:cs="Arial"/>
          <w:color w:val="231F20"/>
          <w:sz w:val="24"/>
          <w:szCs w:val="24"/>
        </w:rPr>
        <w:t xml:space="preserve">) </w:t>
      </w:r>
      <w:proofErr w:type="gramStart"/>
      <w:r w:rsidRPr="00C178DC">
        <w:rPr>
          <w:rFonts w:ascii="Arial" w:hAnsi="Arial" w:cs="Arial"/>
          <w:color w:val="231F20"/>
          <w:sz w:val="24"/>
          <w:szCs w:val="24"/>
        </w:rPr>
        <w:t>in</w:t>
      </w:r>
      <w:proofErr w:type="gramEnd"/>
      <w:r w:rsidRPr="00C178DC">
        <w:rPr>
          <w:rFonts w:ascii="Arial" w:hAnsi="Arial" w:cs="Arial"/>
          <w:color w:val="231F20"/>
          <w:sz w:val="24"/>
          <w:szCs w:val="24"/>
        </w:rPr>
        <w:t xml:space="preserve"> sub-clause </w:t>
      </w:r>
      <w:r w:rsidRPr="003D6B12">
        <w:rPr>
          <w:rFonts w:ascii="Arial" w:hAnsi="Arial" w:cs="Arial"/>
          <w:b/>
          <w:color w:val="231F20"/>
          <w:sz w:val="24"/>
          <w:szCs w:val="24"/>
        </w:rPr>
        <w:t>(</w:t>
      </w:r>
      <w:proofErr w:type="spellStart"/>
      <w:r w:rsidRPr="003D6B12">
        <w:rPr>
          <w:rFonts w:ascii="Arial" w:hAnsi="Arial" w:cs="Arial"/>
          <w:b/>
          <w:i/>
          <w:iCs/>
          <w:color w:val="231F20"/>
          <w:sz w:val="24"/>
          <w:szCs w:val="24"/>
        </w:rPr>
        <w:t>i</w:t>
      </w:r>
      <w:proofErr w:type="spellEnd"/>
      <w:r w:rsidRPr="003D6B12">
        <w:rPr>
          <w:rFonts w:ascii="Arial" w:hAnsi="Arial" w:cs="Arial"/>
          <w:b/>
          <w:color w:val="231F20"/>
          <w:sz w:val="24"/>
          <w:szCs w:val="24"/>
        </w:rPr>
        <w:t>)</w:t>
      </w:r>
      <w:r w:rsidRPr="00C178DC">
        <w:rPr>
          <w:rFonts w:ascii="Arial" w:hAnsi="Arial" w:cs="Arial"/>
          <w:color w:val="231F20"/>
          <w:sz w:val="24"/>
          <w:szCs w:val="24"/>
        </w:rPr>
        <w:t>,—</w:t>
      </w:r>
    </w:p>
    <w:p w:rsidR="00C178DC" w:rsidRPr="00C178DC" w:rsidRDefault="00C178DC" w:rsidP="003D6B12">
      <w:pPr>
        <w:autoSpaceDE w:val="0"/>
        <w:autoSpaceDN w:val="0"/>
        <w:adjustRightInd w:val="0"/>
        <w:spacing w:after="0" w:line="240" w:lineRule="auto"/>
        <w:jc w:val="both"/>
        <w:rPr>
          <w:rFonts w:ascii="Arial" w:hAnsi="Arial" w:cs="Arial"/>
          <w:color w:val="231F20"/>
          <w:sz w:val="24"/>
          <w:szCs w:val="24"/>
        </w:rPr>
      </w:pPr>
      <w:r w:rsidRPr="00C178DC">
        <w:rPr>
          <w:rFonts w:ascii="Arial" w:hAnsi="Arial" w:cs="Arial"/>
          <w:color w:val="231F20"/>
          <w:sz w:val="24"/>
          <w:szCs w:val="24"/>
        </w:rPr>
        <w:t>(</w:t>
      </w:r>
      <w:r w:rsidRPr="00C178DC">
        <w:rPr>
          <w:rFonts w:ascii="Arial" w:hAnsi="Arial" w:cs="Arial"/>
          <w:i/>
          <w:iCs/>
          <w:color w:val="231F20"/>
          <w:sz w:val="24"/>
          <w:szCs w:val="24"/>
        </w:rPr>
        <w:t>I</w:t>
      </w:r>
      <w:r w:rsidRPr="00C178DC">
        <w:rPr>
          <w:rFonts w:ascii="Arial" w:hAnsi="Arial" w:cs="Arial"/>
          <w:color w:val="231F20"/>
          <w:sz w:val="24"/>
          <w:szCs w:val="24"/>
        </w:rPr>
        <w:t>) for the portion beginning with the words “during the previous year” and ending with the</w:t>
      </w:r>
      <w:r>
        <w:rPr>
          <w:rFonts w:ascii="Arial" w:hAnsi="Arial" w:cs="Arial"/>
          <w:color w:val="231F20"/>
          <w:sz w:val="24"/>
          <w:szCs w:val="24"/>
        </w:rPr>
        <w:t xml:space="preserve"> </w:t>
      </w:r>
      <w:r w:rsidRPr="00C178DC">
        <w:rPr>
          <w:rFonts w:ascii="Arial" w:hAnsi="Arial" w:cs="Arial"/>
          <w:color w:val="231F20"/>
          <w:sz w:val="24"/>
          <w:szCs w:val="24"/>
        </w:rPr>
        <w:t xml:space="preserve">words, brackets and figures </w:t>
      </w:r>
      <w:r w:rsidRPr="003D6B12">
        <w:rPr>
          <w:rFonts w:ascii="Arial" w:hAnsi="Arial" w:cs="Arial"/>
          <w:b/>
          <w:color w:val="231F20"/>
          <w:sz w:val="24"/>
          <w:szCs w:val="24"/>
        </w:rPr>
        <w:t>“sub-section (</w:t>
      </w:r>
      <w:r w:rsidRPr="003D6B12">
        <w:rPr>
          <w:rFonts w:ascii="Arial" w:hAnsi="Arial" w:cs="Arial"/>
          <w:b/>
          <w:i/>
          <w:iCs/>
          <w:color w:val="231F20"/>
          <w:sz w:val="24"/>
          <w:szCs w:val="24"/>
        </w:rPr>
        <w:t>1</w:t>
      </w:r>
      <w:r w:rsidRPr="003D6B12">
        <w:rPr>
          <w:rFonts w:ascii="Arial" w:hAnsi="Arial" w:cs="Arial"/>
          <w:b/>
          <w:color w:val="231F20"/>
          <w:sz w:val="24"/>
          <w:szCs w:val="24"/>
        </w:rPr>
        <w:t>) of section 200”</w:t>
      </w:r>
      <w:r w:rsidRPr="00C178DC">
        <w:rPr>
          <w:rFonts w:ascii="Arial" w:hAnsi="Arial" w:cs="Arial"/>
          <w:color w:val="231F20"/>
          <w:sz w:val="24"/>
          <w:szCs w:val="24"/>
        </w:rPr>
        <w:t>, the words, brackets and figures “on</w:t>
      </w:r>
      <w:r>
        <w:rPr>
          <w:rFonts w:ascii="Arial" w:hAnsi="Arial" w:cs="Arial"/>
          <w:color w:val="231F20"/>
          <w:sz w:val="24"/>
          <w:szCs w:val="24"/>
        </w:rPr>
        <w:t xml:space="preserve"> </w:t>
      </w:r>
      <w:r w:rsidRPr="00C178DC">
        <w:rPr>
          <w:rFonts w:ascii="Arial" w:hAnsi="Arial" w:cs="Arial"/>
          <w:color w:val="231F20"/>
          <w:sz w:val="24"/>
          <w:szCs w:val="24"/>
        </w:rPr>
        <w:t xml:space="preserve">or before the due date specified in </w:t>
      </w:r>
      <w:r w:rsidRPr="003D6B12">
        <w:rPr>
          <w:rFonts w:ascii="Arial" w:hAnsi="Arial" w:cs="Arial"/>
          <w:b/>
          <w:color w:val="231F20"/>
          <w:sz w:val="24"/>
          <w:szCs w:val="24"/>
        </w:rPr>
        <w:t>sub-section (</w:t>
      </w:r>
      <w:r w:rsidRPr="003D6B12">
        <w:rPr>
          <w:rFonts w:ascii="Arial" w:hAnsi="Arial" w:cs="Arial"/>
          <w:b/>
          <w:i/>
          <w:iCs/>
          <w:color w:val="231F20"/>
          <w:sz w:val="24"/>
          <w:szCs w:val="24"/>
        </w:rPr>
        <w:t>1</w:t>
      </w:r>
      <w:r w:rsidRPr="003D6B12">
        <w:rPr>
          <w:rFonts w:ascii="Arial" w:hAnsi="Arial" w:cs="Arial"/>
          <w:b/>
          <w:color w:val="231F20"/>
          <w:sz w:val="24"/>
          <w:szCs w:val="24"/>
        </w:rPr>
        <w:t>) of section 139”</w:t>
      </w:r>
      <w:r w:rsidRPr="00C178DC">
        <w:rPr>
          <w:rFonts w:ascii="Arial" w:hAnsi="Arial" w:cs="Arial"/>
          <w:color w:val="231F20"/>
          <w:sz w:val="24"/>
          <w:szCs w:val="24"/>
        </w:rPr>
        <w:t xml:space="preserve"> shall be substituted;</w:t>
      </w:r>
    </w:p>
    <w:p w:rsidR="00C178DC" w:rsidRDefault="00C178DC" w:rsidP="003D6B12">
      <w:pPr>
        <w:autoSpaceDE w:val="0"/>
        <w:autoSpaceDN w:val="0"/>
        <w:adjustRightInd w:val="0"/>
        <w:spacing w:after="0" w:line="240" w:lineRule="auto"/>
        <w:jc w:val="both"/>
        <w:rPr>
          <w:rFonts w:ascii="Arial" w:hAnsi="Arial" w:cs="Arial"/>
          <w:color w:val="231F20"/>
          <w:sz w:val="24"/>
          <w:szCs w:val="24"/>
        </w:rPr>
      </w:pPr>
    </w:p>
    <w:p w:rsidR="00C178DC" w:rsidRPr="00C178DC" w:rsidRDefault="00C178DC" w:rsidP="003D6B12">
      <w:pPr>
        <w:autoSpaceDE w:val="0"/>
        <w:autoSpaceDN w:val="0"/>
        <w:adjustRightInd w:val="0"/>
        <w:spacing w:after="0" w:line="240" w:lineRule="auto"/>
        <w:jc w:val="both"/>
        <w:rPr>
          <w:rFonts w:ascii="Arial" w:hAnsi="Arial" w:cs="Arial"/>
          <w:color w:val="231F20"/>
          <w:sz w:val="24"/>
          <w:szCs w:val="24"/>
        </w:rPr>
      </w:pPr>
      <w:r w:rsidRPr="00C178DC">
        <w:rPr>
          <w:rFonts w:ascii="Arial" w:hAnsi="Arial" w:cs="Arial"/>
          <w:color w:val="231F20"/>
          <w:sz w:val="24"/>
          <w:szCs w:val="24"/>
        </w:rPr>
        <w:t>(</w:t>
      </w:r>
      <w:r w:rsidRPr="00C178DC">
        <w:rPr>
          <w:rFonts w:ascii="Arial" w:hAnsi="Arial" w:cs="Arial"/>
          <w:i/>
          <w:iCs/>
          <w:color w:val="231F20"/>
          <w:sz w:val="24"/>
          <w:szCs w:val="24"/>
        </w:rPr>
        <w:t>II</w:t>
      </w:r>
      <w:r w:rsidRPr="00C178DC">
        <w:rPr>
          <w:rFonts w:ascii="Arial" w:hAnsi="Arial" w:cs="Arial"/>
          <w:color w:val="231F20"/>
          <w:sz w:val="24"/>
          <w:szCs w:val="24"/>
        </w:rPr>
        <w:t xml:space="preserve">) </w:t>
      </w:r>
      <w:proofErr w:type="gramStart"/>
      <w:r w:rsidRPr="00C178DC">
        <w:rPr>
          <w:rFonts w:ascii="Arial" w:hAnsi="Arial" w:cs="Arial"/>
          <w:color w:val="231F20"/>
          <w:sz w:val="24"/>
          <w:szCs w:val="24"/>
        </w:rPr>
        <w:t>for</w:t>
      </w:r>
      <w:proofErr w:type="gramEnd"/>
      <w:r w:rsidRPr="00C178DC">
        <w:rPr>
          <w:rFonts w:ascii="Arial" w:hAnsi="Arial" w:cs="Arial"/>
          <w:color w:val="231F20"/>
          <w:sz w:val="24"/>
          <w:szCs w:val="24"/>
        </w:rPr>
        <w:t xml:space="preserve"> the proviso, the following proviso shall be substituted, namely:—</w:t>
      </w:r>
    </w:p>
    <w:p w:rsidR="00C178DC" w:rsidRPr="003D6B12" w:rsidRDefault="00C178DC" w:rsidP="003D6B12">
      <w:pPr>
        <w:autoSpaceDE w:val="0"/>
        <w:autoSpaceDN w:val="0"/>
        <w:adjustRightInd w:val="0"/>
        <w:spacing w:after="0" w:line="240" w:lineRule="auto"/>
        <w:jc w:val="both"/>
        <w:rPr>
          <w:rFonts w:ascii="Arial" w:hAnsi="Arial" w:cs="Arial"/>
          <w:b/>
          <w:color w:val="231F20"/>
          <w:sz w:val="24"/>
          <w:szCs w:val="24"/>
        </w:rPr>
      </w:pPr>
      <w:r w:rsidRPr="00C178DC">
        <w:rPr>
          <w:rFonts w:ascii="Arial" w:hAnsi="Arial" w:cs="Arial"/>
          <w:color w:val="231F20"/>
          <w:sz w:val="24"/>
          <w:szCs w:val="24"/>
        </w:rPr>
        <w:t>“Provided that where in respect of any such sum, tax has been deducted in any subsequent</w:t>
      </w:r>
      <w:r>
        <w:rPr>
          <w:rFonts w:ascii="Arial" w:hAnsi="Arial" w:cs="Arial"/>
          <w:color w:val="231F20"/>
          <w:sz w:val="24"/>
          <w:szCs w:val="24"/>
        </w:rPr>
        <w:t xml:space="preserve"> </w:t>
      </w:r>
      <w:r w:rsidRPr="00C178DC">
        <w:rPr>
          <w:rFonts w:ascii="Arial" w:hAnsi="Arial" w:cs="Arial"/>
          <w:color w:val="231F20"/>
          <w:sz w:val="24"/>
          <w:szCs w:val="24"/>
        </w:rPr>
        <w:t>year, or has been deducted during the previous year but paid after the due date specified in</w:t>
      </w:r>
      <w:r>
        <w:rPr>
          <w:rFonts w:ascii="Arial" w:hAnsi="Arial" w:cs="Arial"/>
          <w:color w:val="231F20"/>
          <w:sz w:val="24"/>
          <w:szCs w:val="24"/>
        </w:rPr>
        <w:t xml:space="preserve"> </w:t>
      </w:r>
      <w:r w:rsidRPr="00C178DC">
        <w:rPr>
          <w:rFonts w:ascii="Arial" w:hAnsi="Arial" w:cs="Arial"/>
          <w:color w:val="231F20"/>
          <w:sz w:val="24"/>
          <w:szCs w:val="24"/>
        </w:rPr>
        <w:t>sub-section (</w:t>
      </w:r>
      <w:r w:rsidRPr="00C178DC">
        <w:rPr>
          <w:rFonts w:ascii="Arial" w:hAnsi="Arial" w:cs="Arial"/>
          <w:i/>
          <w:iCs/>
          <w:color w:val="231F20"/>
          <w:sz w:val="24"/>
          <w:szCs w:val="24"/>
        </w:rPr>
        <w:t>1</w:t>
      </w:r>
      <w:r w:rsidRPr="00C178DC">
        <w:rPr>
          <w:rFonts w:ascii="Arial" w:hAnsi="Arial" w:cs="Arial"/>
          <w:color w:val="231F20"/>
          <w:sz w:val="24"/>
          <w:szCs w:val="24"/>
        </w:rPr>
        <w:t xml:space="preserve">) of section 139, </w:t>
      </w:r>
      <w:r w:rsidRPr="003D6B12">
        <w:rPr>
          <w:rFonts w:ascii="Arial" w:hAnsi="Arial" w:cs="Arial"/>
          <w:b/>
          <w:color w:val="231F20"/>
          <w:sz w:val="24"/>
          <w:szCs w:val="24"/>
        </w:rPr>
        <w:t>such sum shall be allowed as a deduction in computing the income of the previous year in which such tax has been paid.”;</w:t>
      </w:r>
    </w:p>
    <w:p w:rsidR="00C178DC" w:rsidRDefault="00C178DC" w:rsidP="003D6B12">
      <w:pPr>
        <w:autoSpaceDE w:val="0"/>
        <w:autoSpaceDN w:val="0"/>
        <w:adjustRightInd w:val="0"/>
        <w:spacing w:after="0" w:line="240" w:lineRule="auto"/>
        <w:jc w:val="both"/>
        <w:rPr>
          <w:rFonts w:ascii="Arial" w:hAnsi="Arial" w:cs="Arial"/>
          <w:color w:val="231F20"/>
          <w:sz w:val="24"/>
          <w:szCs w:val="24"/>
        </w:rPr>
      </w:pPr>
    </w:p>
    <w:p w:rsidR="00C178DC" w:rsidRPr="00C178DC" w:rsidRDefault="00C178DC" w:rsidP="003D6B12">
      <w:pPr>
        <w:autoSpaceDE w:val="0"/>
        <w:autoSpaceDN w:val="0"/>
        <w:adjustRightInd w:val="0"/>
        <w:spacing w:after="0" w:line="240" w:lineRule="auto"/>
        <w:jc w:val="both"/>
        <w:rPr>
          <w:rFonts w:ascii="Arial" w:hAnsi="Arial" w:cs="Arial"/>
          <w:color w:val="231F20"/>
          <w:sz w:val="24"/>
          <w:szCs w:val="24"/>
        </w:rPr>
      </w:pPr>
      <w:r w:rsidRPr="00C178DC">
        <w:rPr>
          <w:rFonts w:ascii="Arial" w:hAnsi="Arial" w:cs="Arial"/>
          <w:color w:val="231F20"/>
          <w:sz w:val="24"/>
          <w:szCs w:val="24"/>
        </w:rPr>
        <w:t>(</w:t>
      </w:r>
      <w:r w:rsidRPr="00C178DC">
        <w:rPr>
          <w:rFonts w:ascii="Arial" w:hAnsi="Arial" w:cs="Arial"/>
          <w:i/>
          <w:iCs/>
          <w:color w:val="231F20"/>
          <w:sz w:val="24"/>
          <w:szCs w:val="24"/>
        </w:rPr>
        <w:t>b</w:t>
      </w:r>
      <w:r w:rsidRPr="00C178DC">
        <w:rPr>
          <w:rFonts w:ascii="Arial" w:hAnsi="Arial" w:cs="Arial"/>
          <w:color w:val="231F20"/>
          <w:sz w:val="24"/>
          <w:szCs w:val="24"/>
        </w:rPr>
        <w:t xml:space="preserve">) </w:t>
      </w:r>
      <w:proofErr w:type="gramStart"/>
      <w:r w:rsidRPr="00C178DC">
        <w:rPr>
          <w:rFonts w:ascii="Arial" w:hAnsi="Arial" w:cs="Arial"/>
          <w:color w:val="231F20"/>
          <w:sz w:val="24"/>
          <w:szCs w:val="24"/>
        </w:rPr>
        <w:t>in</w:t>
      </w:r>
      <w:proofErr w:type="gramEnd"/>
      <w:r w:rsidRPr="00C178DC">
        <w:rPr>
          <w:rFonts w:ascii="Arial" w:hAnsi="Arial" w:cs="Arial"/>
          <w:color w:val="231F20"/>
          <w:sz w:val="24"/>
          <w:szCs w:val="24"/>
        </w:rPr>
        <w:t xml:space="preserve"> sub-clause </w:t>
      </w:r>
      <w:r w:rsidRPr="003D6B12">
        <w:rPr>
          <w:rFonts w:ascii="Arial" w:hAnsi="Arial" w:cs="Arial"/>
          <w:b/>
          <w:color w:val="231F20"/>
          <w:sz w:val="24"/>
          <w:szCs w:val="24"/>
        </w:rPr>
        <w:t>(</w:t>
      </w:r>
      <w:proofErr w:type="spellStart"/>
      <w:r w:rsidRPr="003D6B12">
        <w:rPr>
          <w:rFonts w:ascii="Arial" w:hAnsi="Arial" w:cs="Arial"/>
          <w:b/>
          <w:i/>
          <w:iCs/>
          <w:color w:val="231F20"/>
          <w:sz w:val="24"/>
          <w:szCs w:val="24"/>
        </w:rPr>
        <w:t>ia</w:t>
      </w:r>
      <w:proofErr w:type="spellEnd"/>
      <w:r w:rsidRPr="003D6B12">
        <w:rPr>
          <w:rFonts w:ascii="Arial" w:hAnsi="Arial" w:cs="Arial"/>
          <w:b/>
          <w:color w:val="231F20"/>
          <w:sz w:val="24"/>
          <w:szCs w:val="24"/>
        </w:rPr>
        <w:t>)</w:t>
      </w:r>
      <w:r w:rsidRPr="00C178DC">
        <w:rPr>
          <w:rFonts w:ascii="Arial" w:hAnsi="Arial" w:cs="Arial"/>
          <w:color w:val="231F20"/>
          <w:sz w:val="24"/>
          <w:szCs w:val="24"/>
        </w:rPr>
        <w:t>,—</w:t>
      </w:r>
    </w:p>
    <w:p w:rsidR="00C178DC" w:rsidRPr="00C178DC" w:rsidRDefault="00C178DC" w:rsidP="003D6B12">
      <w:pPr>
        <w:autoSpaceDE w:val="0"/>
        <w:autoSpaceDN w:val="0"/>
        <w:adjustRightInd w:val="0"/>
        <w:spacing w:after="0" w:line="240" w:lineRule="auto"/>
        <w:jc w:val="both"/>
        <w:rPr>
          <w:rFonts w:ascii="Arial" w:hAnsi="Arial" w:cs="Arial"/>
          <w:color w:val="231F20"/>
          <w:sz w:val="24"/>
          <w:szCs w:val="24"/>
        </w:rPr>
      </w:pPr>
      <w:r w:rsidRPr="00C178DC">
        <w:rPr>
          <w:rFonts w:ascii="Arial" w:hAnsi="Arial" w:cs="Arial"/>
          <w:color w:val="231F20"/>
          <w:sz w:val="24"/>
          <w:szCs w:val="24"/>
        </w:rPr>
        <w:t>(</w:t>
      </w:r>
      <w:r w:rsidRPr="00C178DC">
        <w:rPr>
          <w:rFonts w:ascii="Arial" w:hAnsi="Arial" w:cs="Arial"/>
          <w:i/>
          <w:iCs/>
          <w:color w:val="231F20"/>
          <w:sz w:val="24"/>
          <w:szCs w:val="24"/>
        </w:rPr>
        <w:t>I</w:t>
      </w:r>
      <w:r w:rsidRPr="00C178DC">
        <w:rPr>
          <w:rFonts w:ascii="Arial" w:hAnsi="Arial" w:cs="Arial"/>
          <w:color w:val="231F20"/>
          <w:sz w:val="24"/>
          <w:szCs w:val="24"/>
        </w:rPr>
        <w:t>) for the portion beginning with the words “any interest, commission or brokerage” and ending</w:t>
      </w:r>
      <w:r>
        <w:rPr>
          <w:rFonts w:ascii="Arial" w:hAnsi="Arial" w:cs="Arial"/>
          <w:color w:val="231F20"/>
          <w:sz w:val="24"/>
          <w:szCs w:val="24"/>
        </w:rPr>
        <w:t xml:space="preserve"> </w:t>
      </w:r>
      <w:r w:rsidRPr="00C178DC">
        <w:rPr>
          <w:rFonts w:ascii="Arial" w:hAnsi="Arial" w:cs="Arial"/>
          <w:color w:val="231F20"/>
          <w:sz w:val="24"/>
          <w:szCs w:val="24"/>
        </w:rPr>
        <w:t xml:space="preserve">with the words and brackets “for carrying out any work (including supply of </w:t>
      </w:r>
      <w:proofErr w:type="spellStart"/>
      <w:r w:rsidRPr="00C178DC">
        <w:rPr>
          <w:rFonts w:ascii="Arial" w:hAnsi="Arial" w:cs="Arial"/>
          <w:color w:val="231F20"/>
          <w:sz w:val="24"/>
          <w:szCs w:val="24"/>
        </w:rPr>
        <w:t>labour</w:t>
      </w:r>
      <w:proofErr w:type="spellEnd"/>
      <w:r w:rsidRPr="00C178DC">
        <w:rPr>
          <w:rFonts w:ascii="Arial" w:hAnsi="Arial" w:cs="Arial"/>
          <w:color w:val="231F20"/>
          <w:sz w:val="24"/>
          <w:szCs w:val="24"/>
        </w:rPr>
        <w:t xml:space="preserve"> for carrying out</w:t>
      </w:r>
      <w:r>
        <w:rPr>
          <w:rFonts w:ascii="Arial" w:hAnsi="Arial" w:cs="Arial"/>
          <w:color w:val="231F20"/>
          <w:sz w:val="24"/>
          <w:szCs w:val="24"/>
        </w:rPr>
        <w:t xml:space="preserve"> </w:t>
      </w:r>
      <w:r w:rsidRPr="00C178DC">
        <w:rPr>
          <w:rFonts w:ascii="Arial" w:hAnsi="Arial" w:cs="Arial"/>
          <w:color w:val="231F20"/>
          <w:sz w:val="24"/>
          <w:szCs w:val="24"/>
        </w:rPr>
        <w:t xml:space="preserve">any work)”, the words </w:t>
      </w:r>
      <w:r w:rsidRPr="003D6B12">
        <w:rPr>
          <w:rFonts w:ascii="Arial" w:hAnsi="Arial" w:cs="Arial"/>
          <w:b/>
          <w:color w:val="231F20"/>
          <w:sz w:val="24"/>
          <w:szCs w:val="24"/>
        </w:rPr>
        <w:t xml:space="preserve">“thirty per cent. </w:t>
      </w:r>
      <w:proofErr w:type="gramStart"/>
      <w:r w:rsidRPr="003D6B12">
        <w:rPr>
          <w:rFonts w:ascii="Arial" w:hAnsi="Arial" w:cs="Arial"/>
          <w:b/>
          <w:color w:val="231F20"/>
          <w:sz w:val="24"/>
          <w:szCs w:val="24"/>
        </w:rPr>
        <w:t>of</w:t>
      </w:r>
      <w:proofErr w:type="gramEnd"/>
      <w:r w:rsidRPr="003D6B12">
        <w:rPr>
          <w:rFonts w:ascii="Arial" w:hAnsi="Arial" w:cs="Arial"/>
          <w:b/>
          <w:color w:val="231F20"/>
          <w:sz w:val="24"/>
          <w:szCs w:val="24"/>
        </w:rPr>
        <w:t xml:space="preserve"> any sum payable to a resident”</w:t>
      </w:r>
      <w:r w:rsidRPr="00C178DC">
        <w:rPr>
          <w:rFonts w:ascii="Arial" w:hAnsi="Arial" w:cs="Arial"/>
          <w:color w:val="231F20"/>
          <w:sz w:val="24"/>
          <w:szCs w:val="24"/>
        </w:rPr>
        <w:t xml:space="preserve"> shall be substituted;</w:t>
      </w:r>
    </w:p>
    <w:p w:rsidR="00C178DC" w:rsidRDefault="00C178DC" w:rsidP="003D6B12">
      <w:pPr>
        <w:autoSpaceDE w:val="0"/>
        <w:autoSpaceDN w:val="0"/>
        <w:adjustRightInd w:val="0"/>
        <w:spacing w:after="0" w:line="240" w:lineRule="auto"/>
        <w:jc w:val="both"/>
        <w:rPr>
          <w:rFonts w:ascii="Arial" w:hAnsi="Arial" w:cs="Arial"/>
          <w:color w:val="231F20"/>
          <w:sz w:val="24"/>
          <w:szCs w:val="24"/>
        </w:rPr>
      </w:pPr>
    </w:p>
    <w:p w:rsidR="005015BD" w:rsidRDefault="00C178DC" w:rsidP="003D6B12">
      <w:pPr>
        <w:autoSpaceDE w:val="0"/>
        <w:autoSpaceDN w:val="0"/>
        <w:adjustRightInd w:val="0"/>
        <w:spacing w:after="0" w:line="240" w:lineRule="auto"/>
        <w:jc w:val="both"/>
        <w:rPr>
          <w:rFonts w:ascii="Arial" w:hAnsi="Arial" w:cs="Arial"/>
          <w:color w:val="231F20"/>
          <w:sz w:val="24"/>
          <w:szCs w:val="24"/>
        </w:rPr>
      </w:pPr>
      <w:r w:rsidRPr="00C178DC">
        <w:rPr>
          <w:rFonts w:ascii="Arial" w:hAnsi="Arial" w:cs="Arial"/>
          <w:color w:val="231F20"/>
          <w:sz w:val="24"/>
          <w:szCs w:val="24"/>
        </w:rPr>
        <w:t>(</w:t>
      </w:r>
      <w:r w:rsidRPr="00C178DC">
        <w:rPr>
          <w:rFonts w:ascii="Arial" w:hAnsi="Arial" w:cs="Arial"/>
          <w:i/>
          <w:iCs/>
          <w:color w:val="231F20"/>
          <w:sz w:val="24"/>
          <w:szCs w:val="24"/>
        </w:rPr>
        <w:t>II</w:t>
      </w:r>
      <w:r w:rsidRPr="00C178DC">
        <w:rPr>
          <w:rFonts w:ascii="Arial" w:hAnsi="Arial" w:cs="Arial"/>
          <w:color w:val="231F20"/>
          <w:sz w:val="24"/>
          <w:szCs w:val="24"/>
        </w:rPr>
        <w:t xml:space="preserve">) </w:t>
      </w:r>
      <w:proofErr w:type="gramStart"/>
      <w:r w:rsidRPr="00C178DC">
        <w:rPr>
          <w:rFonts w:ascii="Arial" w:hAnsi="Arial" w:cs="Arial"/>
          <w:color w:val="231F20"/>
          <w:sz w:val="24"/>
          <w:szCs w:val="24"/>
        </w:rPr>
        <w:t>in</w:t>
      </w:r>
      <w:proofErr w:type="gramEnd"/>
      <w:r w:rsidRPr="00C178DC">
        <w:rPr>
          <w:rFonts w:ascii="Arial" w:hAnsi="Arial" w:cs="Arial"/>
          <w:color w:val="231F20"/>
          <w:sz w:val="24"/>
          <w:szCs w:val="24"/>
        </w:rPr>
        <w:t xml:space="preserve"> the first proviso, after the words, brackets and figures “sub-section (</w:t>
      </w:r>
      <w:r w:rsidRPr="00C178DC">
        <w:rPr>
          <w:rFonts w:ascii="Arial" w:hAnsi="Arial" w:cs="Arial"/>
          <w:i/>
          <w:iCs/>
          <w:color w:val="231F20"/>
          <w:sz w:val="24"/>
          <w:szCs w:val="24"/>
        </w:rPr>
        <w:t>1</w:t>
      </w:r>
      <w:r w:rsidRPr="00C178DC">
        <w:rPr>
          <w:rFonts w:ascii="Arial" w:hAnsi="Arial" w:cs="Arial"/>
          <w:color w:val="231F20"/>
          <w:sz w:val="24"/>
          <w:szCs w:val="24"/>
        </w:rPr>
        <w:t>) of section 139,”,</w:t>
      </w:r>
      <w:r>
        <w:rPr>
          <w:rFonts w:ascii="Arial" w:hAnsi="Arial" w:cs="Arial"/>
          <w:color w:val="231F20"/>
          <w:sz w:val="24"/>
          <w:szCs w:val="24"/>
        </w:rPr>
        <w:t xml:space="preserve"> </w:t>
      </w:r>
      <w:r w:rsidRPr="00C178DC">
        <w:rPr>
          <w:rFonts w:ascii="Arial" w:hAnsi="Arial" w:cs="Arial"/>
          <w:color w:val="231F20"/>
          <w:sz w:val="24"/>
          <w:szCs w:val="24"/>
        </w:rPr>
        <w:t xml:space="preserve">the words “thirty per cent. </w:t>
      </w:r>
      <w:proofErr w:type="gramStart"/>
      <w:r w:rsidRPr="00C178DC">
        <w:rPr>
          <w:rFonts w:ascii="Arial" w:hAnsi="Arial" w:cs="Arial"/>
          <w:color w:val="231F20"/>
          <w:sz w:val="24"/>
          <w:szCs w:val="24"/>
        </w:rPr>
        <w:t>of</w:t>
      </w:r>
      <w:proofErr w:type="gramEnd"/>
      <w:r w:rsidRPr="00C178DC">
        <w:rPr>
          <w:rFonts w:ascii="Arial" w:hAnsi="Arial" w:cs="Arial"/>
          <w:color w:val="231F20"/>
          <w:sz w:val="24"/>
          <w:szCs w:val="24"/>
        </w:rPr>
        <w:t>” shall be inserted.</w:t>
      </w:r>
    </w:p>
    <w:p w:rsidR="00702940" w:rsidRDefault="00702940" w:rsidP="00C178DC">
      <w:pPr>
        <w:autoSpaceDE w:val="0"/>
        <w:autoSpaceDN w:val="0"/>
        <w:adjustRightInd w:val="0"/>
        <w:spacing w:after="0" w:line="240" w:lineRule="auto"/>
        <w:rPr>
          <w:rFonts w:ascii="Arial" w:hAnsi="Arial" w:cs="Arial"/>
          <w:color w:val="231F20"/>
          <w:sz w:val="24"/>
          <w:szCs w:val="24"/>
        </w:rPr>
      </w:pPr>
    </w:p>
    <w:p w:rsidR="00702940" w:rsidRDefault="00702940" w:rsidP="005C3458">
      <w:pPr>
        <w:pBdr>
          <w:top w:val="single" w:sz="4" w:space="1" w:color="auto"/>
          <w:bottom w:val="single" w:sz="4" w:space="1" w:color="auto"/>
        </w:pBdr>
        <w:autoSpaceDE w:val="0"/>
        <w:autoSpaceDN w:val="0"/>
        <w:adjustRightInd w:val="0"/>
        <w:spacing w:after="0" w:line="240" w:lineRule="auto"/>
        <w:jc w:val="center"/>
        <w:rPr>
          <w:rFonts w:ascii="Arial" w:hAnsi="Arial" w:cs="Arial"/>
          <w:color w:val="231F20"/>
          <w:sz w:val="24"/>
          <w:szCs w:val="24"/>
        </w:rPr>
      </w:pPr>
      <w:r w:rsidRPr="005C3458">
        <w:rPr>
          <w:rStyle w:val="Strong"/>
          <w:highlight w:val="yellow"/>
        </w:rPr>
        <w:t>Disallowance of expenditure for non- deduction of tax at source</w:t>
      </w:r>
    </w:p>
    <w:p w:rsidR="00702940" w:rsidRDefault="00702940" w:rsidP="00702940">
      <w:pPr>
        <w:rPr>
          <w:rFonts w:ascii="Arial" w:hAnsi="Arial" w:cs="Arial"/>
          <w:sz w:val="24"/>
          <w:szCs w:val="24"/>
        </w:rPr>
      </w:pPr>
    </w:p>
    <w:p w:rsidR="00702940" w:rsidRPr="00702940" w:rsidRDefault="00702940" w:rsidP="00702940">
      <w:pPr>
        <w:pStyle w:val="NormalWeb"/>
        <w:jc w:val="both"/>
        <w:rPr>
          <w:rFonts w:ascii="Arial" w:hAnsi="Arial" w:cs="Arial"/>
        </w:rPr>
      </w:pPr>
      <w:r w:rsidRPr="00702940">
        <w:rPr>
          <w:rFonts w:ascii="Arial" w:hAnsi="Arial" w:cs="Arial"/>
        </w:rPr>
        <w:t>The existing provisions of section 40(a</w:t>
      </w:r>
      <w:proofErr w:type="gramStart"/>
      <w:r w:rsidRPr="00702940">
        <w:rPr>
          <w:rFonts w:ascii="Arial" w:hAnsi="Arial" w:cs="Arial"/>
        </w:rPr>
        <w:t>)(</w:t>
      </w:r>
      <w:proofErr w:type="spellStart"/>
      <w:proofErr w:type="gramEnd"/>
      <w:r w:rsidRPr="00702940">
        <w:rPr>
          <w:rFonts w:ascii="Arial" w:hAnsi="Arial" w:cs="Arial"/>
        </w:rPr>
        <w:t>i</w:t>
      </w:r>
      <w:proofErr w:type="spellEnd"/>
      <w:r w:rsidRPr="00702940">
        <w:rPr>
          <w:rFonts w:ascii="Arial" w:hAnsi="Arial" w:cs="Arial"/>
        </w:rPr>
        <w:t>) of the Act provide that certain payments such as interest, royalty and fee for technical services made to a non-resident shall not be allowed as deduction for computing business income if tax on such payments was not deducted, or after deduction, was not paid within the time prescribed under section 200(1) of the Act. The Act contains similar provisions for disallowance of business expenditure in respect of certain payments made to the residents. Under section 40(a</w:t>
      </w:r>
      <w:proofErr w:type="gramStart"/>
      <w:r w:rsidRPr="00702940">
        <w:rPr>
          <w:rFonts w:ascii="Arial" w:hAnsi="Arial" w:cs="Arial"/>
        </w:rPr>
        <w:t>)(</w:t>
      </w:r>
      <w:proofErr w:type="spellStart"/>
      <w:proofErr w:type="gramEnd"/>
      <w:r w:rsidRPr="00702940">
        <w:rPr>
          <w:rFonts w:ascii="Arial" w:hAnsi="Arial" w:cs="Arial"/>
        </w:rPr>
        <w:t>ia</w:t>
      </w:r>
      <w:proofErr w:type="spellEnd"/>
      <w:r w:rsidRPr="00702940">
        <w:rPr>
          <w:rFonts w:ascii="Arial" w:hAnsi="Arial" w:cs="Arial"/>
        </w:rPr>
        <w:t xml:space="preserve">) of the Act, in case of payments made to resident, the </w:t>
      </w:r>
      <w:proofErr w:type="spellStart"/>
      <w:r w:rsidRPr="00702940">
        <w:rPr>
          <w:rFonts w:ascii="Arial" w:hAnsi="Arial" w:cs="Arial"/>
        </w:rPr>
        <w:t>deductor</w:t>
      </w:r>
      <w:proofErr w:type="spellEnd"/>
      <w:r w:rsidRPr="00702940">
        <w:rPr>
          <w:rFonts w:ascii="Arial" w:hAnsi="Arial" w:cs="Arial"/>
        </w:rPr>
        <w:t xml:space="preserve"> is allowed to claim deduction for payments as expenditure in the previous year of payment, if tax is deducted during the previous year and the same is paid on or before the due date specified for filing of return of income under section 139(1) of the Act. However, in case of disallowance for non-payment of tax from payments made to non-residents, this extended time limit of payment up to the date of filing of return of income under section 139(1) is not available.</w:t>
      </w:r>
    </w:p>
    <w:p w:rsidR="00702940" w:rsidRPr="00702940" w:rsidRDefault="00702940" w:rsidP="00702940">
      <w:pPr>
        <w:pStyle w:val="NormalWeb"/>
        <w:jc w:val="both"/>
        <w:rPr>
          <w:rFonts w:ascii="Arial" w:hAnsi="Arial" w:cs="Arial"/>
        </w:rPr>
      </w:pPr>
      <w:r w:rsidRPr="00702940">
        <w:rPr>
          <w:rFonts w:ascii="Arial" w:hAnsi="Arial" w:cs="Arial"/>
        </w:rPr>
        <w:t>    </w:t>
      </w:r>
      <w:r w:rsidRPr="005C3458">
        <w:rPr>
          <w:rFonts w:ascii="Arial" w:hAnsi="Arial" w:cs="Arial"/>
          <w:u w:val="single"/>
        </w:rPr>
        <w:t xml:space="preserve"> In order to provide similar extended time limit for payment of tax deducted from payments made to non-residents</w:t>
      </w:r>
      <w:r w:rsidRPr="00702940">
        <w:rPr>
          <w:rFonts w:ascii="Arial" w:hAnsi="Arial" w:cs="Arial"/>
        </w:rPr>
        <w:t xml:space="preserve">, it is proposed that the </w:t>
      </w:r>
      <w:proofErr w:type="spellStart"/>
      <w:r w:rsidRPr="00702940">
        <w:rPr>
          <w:rFonts w:ascii="Arial" w:hAnsi="Arial" w:cs="Arial"/>
        </w:rPr>
        <w:t>deductor</w:t>
      </w:r>
      <w:proofErr w:type="spellEnd"/>
      <w:r w:rsidRPr="00702940">
        <w:rPr>
          <w:rFonts w:ascii="Arial" w:hAnsi="Arial" w:cs="Arial"/>
        </w:rPr>
        <w:t xml:space="preserve"> shall be allowed to claim deduction </w:t>
      </w:r>
      <w:r w:rsidRPr="005C3458">
        <w:rPr>
          <w:rFonts w:ascii="Arial" w:hAnsi="Arial" w:cs="Arial"/>
          <w:b/>
        </w:rPr>
        <w:t>for payments made to non-residents</w:t>
      </w:r>
      <w:r w:rsidRPr="00702940">
        <w:rPr>
          <w:rFonts w:ascii="Arial" w:hAnsi="Arial" w:cs="Arial"/>
        </w:rPr>
        <w:t xml:space="preserve"> in the previous year of </w:t>
      </w:r>
      <w:r w:rsidRPr="00702940">
        <w:rPr>
          <w:rFonts w:ascii="Arial" w:hAnsi="Arial" w:cs="Arial"/>
        </w:rPr>
        <w:lastRenderedPageBreak/>
        <w:t xml:space="preserve">payment, if tax is deducted during the previous year and the same is </w:t>
      </w:r>
      <w:r w:rsidRPr="005C3458">
        <w:rPr>
          <w:rFonts w:ascii="Arial" w:hAnsi="Arial" w:cs="Arial"/>
          <w:b/>
        </w:rPr>
        <w:t>paid on or before the due date specified for filing of return under section 139(1) of the Act.</w:t>
      </w:r>
    </w:p>
    <w:p w:rsidR="00702940" w:rsidRPr="00702940" w:rsidRDefault="00702940" w:rsidP="00702940">
      <w:pPr>
        <w:pStyle w:val="NormalWeb"/>
        <w:jc w:val="both"/>
        <w:rPr>
          <w:rFonts w:ascii="Arial" w:hAnsi="Arial" w:cs="Arial"/>
        </w:rPr>
      </w:pPr>
      <w:r w:rsidRPr="00702940">
        <w:rPr>
          <w:rFonts w:ascii="Arial" w:hAnsi="Arial" w:cs="Arial"/>
        </w:rPr>
        <w:t>     As mentioned above, in case of non-deduction or non-payment of tax deducted at source (TDS) from certain payments made to residents, the entire amount of expenditure on which tax was deductible is disallowed under section 40(a)(</w:t>
      </w:r>
      <w:proofErr w:type="spellStart"/>
      <w:r w:rsidRPr="00702940">
        <w:rPr>
          <w:rFonts w:ascii="Arial" w:hAnsi="Arial" w:cs="Arial"/>
        </w:rPr>
        <w:t>ia</w:t>
      </w:r>
      <w:proofErr w:type="spellEnd"/>
      <w:r w:rsidRPr="00702940">
        <w:rPr>
          <w:rFonts w:ascii="Arial" w:hAnsi="Arial" w:cs="Arial"/>
        </w:rPr>
        <w:t>) for the purposes of computing income under the head “Profits and gains of business or profession". The disallowance of whole of the amount of expenditure results into undue hardship.</w:t>
      </w:r>
    </w:p>
    <w:p w:rsidR="00702940" w:rsidRPr="00702940" w:rsidRDefault="00702940" w:rsidP="00702940">
      <w:pPr>
        <w:pStyle w:val="NormalWeb"/>
        <w:jc w:val="both"/>
        <w:rPr>
          <w:rFonts w:ascii="Arial" w:hAnsi="Arial" w:cs="Arial"/>
        </w:rPr>
      </w:pPr>
      <w:r w:rsidRPr="00702940">
        <w:rPr>
          <w:rFonts w:ascii="Arial" w:hAnsi="Arial" w:cs="Arial"/>
        </w:rPr>
        <w:t xml:space="preserve">     In order to reduce the hardship, it is proposed that in case of non-deduction or non-payment of TDS on payments made to residents as specified in </w:t>
      </w:r>
      <w:r w:rsidRPr="005C3458">
        <w:rPr>
          <w:rFonts w:ascii="Arial" w:hAnsi="Arial" w:cs="Arial"/>
          <w:b/>
        </w:rPr>
        <w:t>section 40(a</w:t>
      </w:r>
      <w:proofErr w:type="gramStart"/>
      <w:r w:rsidRPr="005C3458">
        <w:rPr>
          <w:rFonts w:ascii="Arial" w:hAnsi="Arial" w:cs="Arial"/>
          <w:b/>
        </w:rPr>
        <w:t>)(</w:t>
      </w:r>
      <w:proofErr w:type="spellStart"/>
      <w:proofErr w:type="gramEnd"/>
      <w:r w:rsidRPr="005C3458">
        <w:rPr>
          <w:rFonts w:ascii="Arial" w:hAnsi="Arial" w:cs="Arial"/>
          <w:b/>
        </w:rPr>
        <w:t>ia</w:t>
      </w:r>
      <w:proofErr w:type="spellEnd"/>
      <w:r w:rsidRPr="005C3458">
        <w:rPr>
          <w:rFonts w:ascii="Arial" w:hAnsi="Arial" w:cs="Arial"/>
          <w:b/>
        </w:rPr>
        <w:t>)</w:t>
      </w:r>
      <w:r w:rsidRPr="00702940">
        <w:rPr>
          <w:rFonts w:ascii="Arial" w:hAnsi="Arial" w:cs="Arial"/>
        </w:rPr>
        <w:t xml:space="preserve"> of the Act, </w:t>
      </w:r>
      <w:r w:rsidRPr="005C3458">
        <w:rPr>
          <w:rFonts w:ascii="Arial" w:hAnsi="Arial" w:cs="Arial"/>
          <w:b/>
        </w:rPr>
        <w:t>the disallowance shall be restricted to 30% of the amount of expenditure claimed.</w:t>
      </w:r>
    </w:p>
    <w:p w:rsidR="00702940" w:rsidRPr="00702940" w:rsidRDefault="00702940" w:rsidP="00702940">
      <w:pPr>
        <w:pStyle w:val="NormalWeb"/>
        <w:jc w:val="both"/>
        <w:rPr>
          <w:rFonts w:ascii="Arial" w:hAnsi="Arial" w:cs="Arial"/>
        </w:rPr>
      </w:pPr>
      <w:r w:rsidRPr="00702940">
        <w:rPr>
          <w:rFonts w:ascii="Arial" w:hAnsi="Arial" w:cs="Arial"/>
        </w:rPr>
        <w:t>     Further, existing provisions of section 40(a</w:t>
      </w:r>
      <w:proofErr w:type="gramStart"/>
      <w:r w:rsidRPr="00702940">
        <w:rPr>
          <w:rFonts w:ascii="Arial" w:hAnsi="Arial" w:cs="Arial"/>
        </w:rPr>
        <w:t>)(</w:t>
      </w:r>
      <w:proofErr w:type="spellStart"/>
      <w:proofErr w:type="gramEnd"/>
      <w:r w:rsidRPr="00702940">
        <w:rPr>
          <w:rFonts w:ascii="Arial" w:hAnsi="Arial" w:cs="Arial"/>
        </w:rPr>
        <w:t>ia</w:t>
      </w:r>
      <w:proofErr w:type="spellEnd"/>
      <w:r w:rsidRPr="00702940">
        <w:rPr>
          <w:rFonts w:ascii="Arial" w:hAnsi="Arial" w:cs="Arial"/>
        </w:rPr>
        <w:t>) of the Act provides that certain payments such as interest, commission, brokerage, rent, royalty fee for technical services and contract payment made to a resident shall not be allowed as deduction for computing business income if tax on such payments was not deducted, or after deduction, was not paid within the time specified under the said section. Chapter XVII-B of the Act mandates deduction of tax from certain other payments such as salary, directors fee, which are currently not specified under section 40(a</w:t>
      </w:r>
      <w:proofErr w:type="gramStart"/>
      <w:r w:rsidRPr="00702940">
        <w:rPr>
          <w:rFonts w:ascii="Arial" w:hAnsi="Arial" w:cs="Arial"/>
        </w:rPr>
        <w:t>)(</w:t>
      </w:r>
      <w:proofErr w:type="spellStart"/>
      <w:proofErr w:type="gramEnd"/>
      <w:r w:rsidRPr="00702940">
        <w:rPr>
          <w:rFonts w:ascii="Arial" w:hAnsi="Arial" w:cs="Arial"/>
        </w:rPr>
        <w:t>ia</w:t>
      </w:r>
      <w:proofErr w:type="spellEnd"/>
      <w:r w:rsidRPr="00702940">
        <w:rPr>
          <w:rFonts w:ascii="Arial" w:hAnsi="Arial" w:cs="Arial"/>
        </w:rPr>
        <w:t>) of the Act. The payments on which tax is deductible under Chapter XVII-B but not specified under section 40(a)(</w:t>
      </w:r>
      <w:proofErr w:type="spellStart"/>
      <w:r w:rsidRPr="00702940">
        <w:rPr>
          <w:rFonts w:ascii="Arial" w:hAnsi="Arial" w:cs="Arial"/>
        </w:rPr>
        <w:t>ia</w:t>
      </w:r>
      <w:proofErr w:type="spellEnd"/>
      <w:r w:rsidRPr="00702940">
        <w:rPr>
          <w:rFonts w:ascii="Arial" w:hAnsi="Arial" w:cs="Arial"/>
        </w:rPr>
        <w:t>) of the Act may also be claimed as expenditure for the purposes of computation of income under the head “Profits and gains from business or profession”.</w:t>
      </w:r>
    </w:p>
    <w:p w:rsidR="00702940" w:rsidRPr="005C3458" w:rsidRDefault="00702940" w:rsidP="00702940">
      <w:pPr>
        <w:pStyle w:val="NormalWeb"/>
        <w:jc w:val="both"/>
        <w:rPr>
          <w:rFonts w:ascii="Arial" w:hAnsi="Arial" w:cs="Arial"/>
          <w:u w:val="single"/>
        </w:rPr>
      </w:pPr>
      <w:r w:rsidRPr="00702940">
        <w:rPr>
          <w:rFonts w:ascii="Arial" w:hAnsi="Arial" w:cs="Arial"/>
        </w:rPr>
        <w:t>     Section 40(a</w:t>
      </w:r>
      <w:proofErr w:type="gramStart"/>
      <w:r w:rsidRPr="00702940">
        <w:rPr>
          <w:rFonts w:ascii="Arial" w:hAnsi="Arial" w:cs="Arial"/>
        </w:rPr>
        <w:t>)(</w:t>
      </w:r>
      <w:proofErr w:type="spellStart"/>
      <w:proofErr w:type="gramEnd"/>
      <w:r w:rsidRPr="00702940">
        <w:rPr>
          <w:rFonts w:ascii="Arial" w:hAnsi="Arial" w:cs="Arial"/>
        </w:rPr>
        <w:t>ia</w:t>
      </w:r>
      <w:proofErr w:type="spellEnd"/>
      <w:r w:rsidRPr="00702940">
        <w:rPr>
          <w:rFonts w:ascii="Arial" w:hAnsi="Arial" w:cs="Arial"/>
        </w:rPr>
        <w:t>) has proved to be an effective tool for ensuring compliance of TDS provisions by the payers. Therefore, in order to improve the TDS compliance in respect of payments to residents which are currently not specified in section 40(a</w:t>
      </w:r>
      <w:proofErr w:type="gramStart"/>
      <w:r w:rsidRPr="00702940">
        <w:rPr>
          <w:rFonts w:ascii="Arial" w:hAnsi="Arial" w:cs="Arial"/>
        </w:rPr>
        <w:t>)(</w:t>
      </w:r>
      <w:proofErr w:type="spellStart"/>
      <w:proofErr w:type="gramEnd"/>
      <w:r w:rsidRPr="00702940">
        <w:rPr>
          <w:rFonts w:ascii="Arial" w:hAnsi="Arial" w:cs="Arial"/>
        </w:rPr>
        <w:t>ia</w:t>
      </w:r>
      <w:proofErr w:type="spellEnd"/>
      <w:r w:rsidRPr="00702940">
        <w:rPr>
          <w:rFonts w:ascii="Arial" w:hAnsi="Arial" w:cs="Arial"/>
        </w:rPr>
        <w:t xml:space="preserve">), </w:t>
      </w:r>
      <w:r w:rsidRPr="005C3458">
        <w:rPr>
          <w:rFonts w:ascii="Arial" w:hAnsi="Arial" w:cs="Arial"/>
          <w:u w:val="single"/>
        </w:rPr>
        <w:t>it is proposed that the disallowance under section 40(a)(</w:t>
      </w:r>
      <w:proofErr w:type="spellStart"/>
      <w:r w:rsidRPr="005C3458">
        <w:rPr>
          <w:rFonts w:ascii="Arial" w:hAnsi="Arial" w:cs="Arial"/>
          <w:u w:val="single"/>
        </w:rPr>
        <w:t>ia</w:t>
      </w:r>
      <w:proofErr w:type="spellEnd"/>
      <w:r w:rsidRPr="005C3458">
        <w:rPr>
          <w:rFonts w:ascii="Arial" w:hAnsi="Arial" w:cs="Arial"/>
          <w:u w:val="single"/>
        </w:rPr>
        <w:t>) of the Act shall extend to all expenditure on which tax is deductible under Chapter XVII-B of the Act.</w:t>
      </w:r>
    </w:p>
    <w:p w:rsidR="00702940" w:rsidRPr="00702940" w:rsidRDefault="00702940" w:rsidP="00702940">
      <w:pPr>
        <w:pStyle w:val="NormalWeb"/>
        <w:jc w:val="both"/>
        <w:rPr>
          <w:rFonts w:ascii="Arial" w:hAnsi="Arial" w:cs="Arial"/>
        </w:rPr>
      </w:pPr>
      <w:r w:rsidRPr="00702940">
        <w:rPr>
          <w:rFonts w:ascii="Arial" w:hAnsi="Arial" w:cs="Arial"/>
        </w:rPr>
        <w:t>     These amendments will take effect from 1st April, 2015 and will, accordingly, apply in relation to the assessment year 2015-16 and subsequent years.</w:t>
      </w:r>
    </w:p>
    <w:p w:rsidR="00702940" w:rsidRPr="00702940" w:rsidRDefault="00702940" w:rsidP="00702940">
      <w:pPr>
        <w:pBdr>
          <w:bottom w:val="single" w:sz="4" w:space="1" w:color="auto"/>
        </w:pBdr>
        <w:rPr>
          <w:rFonts w:ascii="Arial" w:hAnsi="Arial" w:cs="Arial"/>
          <w:sz w:val="24"/>
          <w:szCs w:val="24"/>
        </w:rPr>
      </w:pPr>
    </w:p>
    <w:sectPr w:rsidR="00702940" w:rsidRPr="00702940" w:rsidSect="005015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C178DC"/>
    <w:rsid w:val="00115D03"/>
    <w:rsid w:val="003D6B12"/>
    <w:rsid w:val="005015BD"/>
    <w:rsid w:val="005C3458"/>
    <w:rsid w:val="00702940"/>
    <w:rsid w:val="0083429D"/>
    <w:rsid w:val="00C178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02940"/>
    <w:rPr>
      <w:b/>
      <w:bCs/>
    </w:rPr>
  </w:style>
  <w:style w:type="paragraph" w:styleId="NormalWeb">
    <w:name w:val="Normal (Web)"/>
    <w:basedOn w:val="Normal"/>
    <w:uiPriority w:val="99"/>
    <w:semiHidden/>
    <w:unhideWhenUsed/>
    <w:rsid w:val="0070294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4896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733</Words>
  <Characters>4181</Characters>
  <Application>Microsoft Office Word</Application>
  <DocSecurity>0</DocSecurity>
  <Lines>34</Lines>
  <Paragraphs>9</Paragraphs>
  <ScaleCrop>false</ScaleCrop>
  <Company/>
  <LinksUpToDate>false</LinksUpToDate>
  <CharactersWithSpaces>4905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Kashish</dc:creator>
  <cp:lastModifiedBy>Kashish</cp:lastModifiedBy>
  <cp:revision>4</cp:revision>
  <dcterms:created xsi:type="dcterms:W3CDTF">2014-07-16T07:20:00Z</dcterms:created>
  <dcterms:modified xsi:type="dcterms:W3CDTF">2014-07-16T17:34:00Z</dcterms:modified>
</cp:coreProperties>
</file>